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2703195</wp:posOffset>
            </wp:positionH>
            <wp:positionV relativeFrom="paragraph">
              <wp:posOffset>0</wp:posOffset>
            </wp:positionV>
            <wp:extent cx="746760" cy="71628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6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20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P&amp;G, la empresa más responsable ESG en el sector de consumo masivo en México 2022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jc w:val="both"/>
        <w:rPr>
          <w:i w:val="1"/>
          <w:color w:val="666666"/>
          <w:sz w:val="26"/>
          <w:szCs w:val="26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Monitor Empresarial de Reputación Corporativa (Merco) dio a conocer la lista de las 100 empresas más responsables de México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De acuerdo con el estudio realizado, destacó que en las empresas mexicanas, durante el año hubo progresos en áreas como la igualdad pero retrocesos en inversiones sociales y medioambientales, destacó el estudio. </w:t>
      </w:r>
    </w:p>
    <w:p w:rsidR="00000000" w:rsidDel="00000000" w:rsidP="00000000" w:rsidRDefault="00000000" w:rsidRPr="00000000" w14:paraId="00000009">
      <w:pPr>
        <w:shd w:fill="ffffff" w:val="clear"/>
        <w:spacing w:after="120" w:lineRule="auto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México, CDMX, 17 de marzo de 2023.- P&amp;G, </w:t>
      </w:r>
      <w:r w:rsidDel="00000000" w:rsidR="00000000" w:rsidRPr="00000000">
        <w:rPr>
          <w:rtl w:val="0"/>
        </w:rPr>
        <w:t xml:space="preserve">empresa mundial líder en productos de limpieza, higiene personal y cuidado de la salud, fue reconocido como primer lugar en el sector de consumo masivo dentro de la </w:t>
      </w:r>
      <w:r w:rsidDel="00000000" w:rsidR="00000000" w:rsidRPr="00000000">
        <w:rPr>
          <w:highlight w:val="white"/>
          <w:rtl w:val="0"/>
        </w:rPr>
        <w:t xml:space="preserve">10ª edición </w:t>
      </w:r>
      <w:r w:rsidDel="00000000" w:rsidR="00000000" w:rsidRPr="00000000">
        <w:rPr>
          <w:rtl w:val="0"/>
        </w:rPr>
        <w:t xml:space="preserve">del ranking ‘Responsabilidad ESG 2022’ de Merco, que mide el desempeño medioambiental, con los colaboradores, clientes y  sociedad, así como el nivel ético y de gobierno corporativo, gracias a sus estrategias que resaltan en tres áreas: impacto en la comunidad, equidad e inclusión y sustentabilidad ambiental.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“Nuestras acciones reflejan la capacidad y el liderazgo que tenemos para impactar y transformar positivamente en las comunidades donde vivimos y trabajamos, creando valor económico, social y ambiental a través de nuestras marcas, colaboradores, alianzas y programas, reforzando nuestro compromiso y capacidad para trabajar y alcanzar los objetivos de la empresa de una manera responsable y con ello, continuar con el propósito de ser una fuerza para el bien y para el crecimiento”, destacó Juan Carlos Trujillo, Presidente y Director General de P&amp;G México durante la ceremonia de premiación.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 esto, P&amp;G refuerza su compromiso con la sociedad y, en el marco de su 75 aniversario, se mantiene firme para continuar impulsando programas y proyectos que </w:t>
      </w:r>
      <w:r w:rsidDel="00000000" w:rsidR="00000000" w:rsidRPr="00000000">
        <w:rPr>
          <w:rtl w:val="0"/>
        </w:rPr>
        <w:t xml:space="preserve">permitan apoyar la educación, la empleabilidad y la salud de millones de personas en México y en Latinoamérica.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Merco Responsabilidad ESG realizó un análisis de más de 4,822 encuestas, así como cinco evaluaciones y consultó a 15 fuentes de información para la realización de este estudio donde resaltó que las empresas apuestan por contribuciones a las comunidades, procesos de transparencia y de buena gobernanza.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Procter &amp; Gamble 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P&amp;G sirve a consumidores alrededor del mundo con unos de los portafolios de marcas líderes más fuertes y de mayor confianza incluyendo Ace®, Always®, Ariel®, Dolo-Neurobión®, Downy®, Gillette®, Head &amp; Shoulders®, Herbal Essences®, Naturella®, Old-Spice®, Oral-B®, Pantene®, Pepto-Bismol®, Salvo®, Secret®, Sedalmerk® y Vick®, entre otras. La comunidad P&amp;G incluye operaciones en aproximadamente 70 países alrededor del mundo. Por favor visita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www.pg.com</w:t>
        </w:r>
      </w:hyperlink>
      <w:r w:rsidDel="00000000" w:rsidR="00000000" w:rsidRPr="00000000">
        <w:rPr>
          <w:rtl w:val="0"/>
        </w:rPr>
        <w:t xml:space="preserve"> para las últimas novedades e información sobre P&amp;G y sus marcas. Para más información acerca de P&amp;G, consulta la página</w:t>
      </w:r>
      <w:hyperlink r:id="rId9">
        <w:r w:rsidDel="00000000" w:rsidR="00000000" w:rsidRPr="00000000">
          <w:rPr>
            <w:b w:val="1"/>
            <w:color w:val="454545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https://pg.com.mx </w:t>
        </w:r>
      </w:hyperlink>
      <w:r w:rsidDel="00000000" w:rsidR="00000000" w:rsidRPr="00000000">
        <w:rPr>
          <w:b w:val="1"/>
          <w:color w:val="454545"/>
          <w:rtl w:val="0"/>
        </w:rPr>
        <w:t xml:space="preserve"> </w:t>
      </w:r>
      <w:r w:rsidDel="00000000" w:rsidR="00000000" w:rsidRPr="00000000">
        <w:rPr>
          <w:rtl w:val="0"/>
        </w:rPr>
        <w:t xml:space="preserve">y su sala de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prensa</w:t>
        </w:r>
      </w:hyperlink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b w:val="1"/>
          <w:color w:val="454545"/>
          <w:rtl w:val="0"/>
        </w:rPr>
        <w:t xml:space="preserve"> </w:t>
      </w:r>
      <w:r w:rsidDel="00000000" w:rsidR="00000000" w:rsidRPr="00000000">
        <w:rPr>
          <w:rtl w:val="0"/>
        </w:rPr>
        <w:t xml:space="preserve">Visita también</w:t>
      </w:r>
      <w:r w:rsidDel="00000000" w:rsidR="00000000" w:rsidRPr="00000000">
        <w:rPr>
          <w:color w:val="242424"/>
          <w:rtl w:val="0"/>
        </w:rPr>
        <w:t xml:space="preserve">:</w:t>
      </w:r>
      <w:hyperlink r:id="rId13">
        <w:r w:rsidDel="00000000" w:rsidR="00000000" w:rsidRPr="00000000">
          <w:rPr>
            <w:b w:val="1"/>
            <w:color w:val="454545"/>
            <w:rtl w:val="0"/>
          </w:rPr>
          <w:t xml:space="preserve"> </w:t>
        </w:r>
      </w:hyperlink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Linkedin P&amp;G México</w:t>
        </w:r>
      </w:hyperlink>
      <w:r w:rsidDel="00000000" w:rsidR="00000000" w:rsidRPr="00000000">
        <w:rPr>
          <w:rtl w:val="0"/>
        </w:rPr>
        <w:t xml:space="preserve"> e </w:t>
      </w: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Instagram P&amp;G México</w:t>
        </w:r>
      </w:hyperlink>
      <w:r w:rsidDel="00000000" w:rsidR="00000000" w:rsidRPr="00000000">
        <w:rPr>
          <w:b w:val="1"/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Andrea González                         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andrea.gonzalez@another.co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55 9106 8180 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Tanya Belmont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tanya.belmont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55 6211 9370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E640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 w:val="1"/>
    <w:unhideWhenUsed w:val="1"/>
    <w:rsid w:val="00E6400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atam.pg.com/sala-de-prensa/" TargetMode="External"/><Relationship Id="rId10" Type="http://schemas.openxmlformats.org/officeDocument/2006/relationships/hyperlink" Target="https://us.pg.com/" TargetMode="External"/><Relationship Id="rId13" Type="http://schemas.openxmlformats.org/officeDocument/2006/relationships/hyperlink" Target="https://www.linkedin.com/company/procter-and-gamble/" TargetMode="External"/><Relationship Id="rId12" Type="http://schemas.openxmlformats.org/officeDocument/2006/relationships/hyperlink" Target="https://latam.pg.com/sala-de-prens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.pg.com/" TargetMode="External"/><Relationship Id="rId15" Type="http://schemas.openxmlformats.org/officeDocument/2006/relationships/hyperlink" Target="https://www.instagram.com/pgcareersmx/" TargetMode="External"/><Relationship Id="rId14" Type="http://schemas.openxmlformats.org/officeDocument/2006/relationships/hyperlink" Target="https://www.linkedin.com/company/procter-and-gamble/" TargetMode="External"/><Relationship Id="rId17" Type="http://schemas.openxmlformats.org/officeDocument/2006/relationships/hyperlink" Target="mailto:gabriela.monroy@another.co" TargetMode="External"/><Relationship Id="rId16" Type="http://schemas.openxmlformats.org/officeDocument/2006/relationships/hyperlink" Target="mailto:andrea.gonzalez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pg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MQkC8nGvhBLIXttm6hejIiEouA==">AMUW2mVOuW90rpKJG6MNtAXOmjok2cuWelvKrLMPi8cYsRHTOM0UJ8g1rgG6AGh3XghrrY9vMrDMlo4Ms02qRHHD6fKHymtUQPSE4+3ZIuuvVz5FkTHMlZI=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2023-03-16T22:51:00Z</dcterms:created>
  <dc:creator>Gonzalez, Anapaula</dc:creator>
</cp:coreProperties>
</file>